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nThickThinMediumGap" w:sz="24" w:space="0" w:color="auto"/>
        </w:tblBorders>
        <w:tblLayout w:type="fixed"/>
        <w:tblLook w:val="00A0" w:firstRow="1" w:lastRow="0" w:firstColumn="1" w:lastColumn="0" w:noHBand="0" w:noVBand="0"/>
      </w:tblPr>
      <w:tblGrid>
        <w:gridCol w:w="1536"/>
        <w:gridCol w:w="6369"/>
        <w:gridCol w:w="1671"/>
      </w:tblGrid>
      <w:tr w:rsidR="0079070A" w:rsidTr="00FD7DCA">
        <w:trPr>
          <w:trHeight w:val="1140"/>
        </w:trPr>
        <w:tc>
          <w:tcPr>
            <w:tcW w:w="1536" w:type="dxa"/>
          </w:tcPr>
          <w:p w:rsidR="0079070A" w:rsidRPr="00904139" w:rsidRDefault="00C8146A" w:rsidP="00FD7DCA">
            <w:pPr>
              <w:rPr>
                <w:rFonts w:ascii="Geneva" w:hAnsi="Geneva"/>
                <w:color w:val="000000"/>
                <w:sz w:val="48"/>
              </w:rPr>
            </w:pPr>
            <w:r>
              <w:rPr>
                <w:noProof/>
                <w:lang w:val="en-CA"/>
              </w:rPr>
              <w:drawing>
                <wp:anchor distT="0" distB="0" distL="114300" distR="114300" simplePos="0" relativeHeight="251657216" behindDoc="1" locked="0" layoutInCell="1" allowOverlap="1">
                  <wp:simplePos x="0" y="0"/>
                  <wp:positionH relativeFrom="column">
                    <wp:posOffset>83947</wp:posOffset>
                  </wp:positionH>
                  <wp:positionV relativeFrom="paragraph">
                    <wp:posOffset>50800</wp:posOffset>
                  </wp:positionV>
                  <wp:extent cx="716153" cy="590804"/>
                  <wp:effectExtent l="76200" t="57150" r="45847" b="0"/>
                  <wp:wrapTight wrapText="bothSides">
                    <wp:wrapPolygon edited="0">
                      <wp:start x="-2298" y="-2089"/>
                      <wp:lineTo x="-1149" y="21591"/>
                      <wp:lineTo x="21834" y="21591"/>
                      <wp:lineTo x="22408" y="21591"/>
                      <wp:lineTo x="22408" y="20198"/>
                      <wp:lineTo x="22983" y="9751"/>
                      <wp:lineTo x="22983" y="8358"/>
                      <wp:lineTo x="22408" y="0"/>
                      <wp:lineTo x="21834" y="-2089"/>
                      <wp:lineTo x="-2298" y="-2089"/>
                    </wp:wrapPolygon>
                  </wp:wrapTight>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6153" cy="590804"/>
                          </a:xfrm>
                          <a:prstGeom prst="rect">
                            <a:avLst/>
                          </a:prstGeom>
                          <a:noFill/>
                          <a:ln w="9525">
                            <a:noFill/>
                            <a:miter lim="800000"/>
                            <a:headEnd/>
                            <a:tailEnd/>
                          </a:ln>
                          <a:effectLst>
                            <a:outerShdw blurRad="50800" dist="38100" dir="13500000" algn="br" rotWithShape="0">
                              <a:prstClr val="black">
                                <a:alpha val="40000"/>
                              </a:prstClr>
                            </a:outerShdw>
                          </a:effectLst>
                        </pic:spPr>
                      </pic:pic>
                    </a:graphicData>
                  </a:graphic>
                </wp:anchor>
              </w:drawing>
            </w:r>
          </w:p>
        </w:tc>
        <w:tc>
          <w:tcPr>
            <w:tcW w:w="6369" w:type="dxa"/>
          </w:tcPr>
          <w:p w:rsidR="0079070A" w:rsidRPr="00904139" w:rsidRDefault="0079070A" w:rsidP="00FD7DCA">
            <w:pPr>
              <w:jc w:val="center"/>
              <w:rPr>
                <w:rFonts w:ascii="Geneva" w:hAnsi="Geneva"/>
                <w:color w:val="000000"/>
                <w:sz w:val="48"/>
              </w:rPr>
            </w:pPr>
            <w:smartTag w:uri="urn:schemas-microsoft-com:office:smarttags" w:element="State">
              <w:r w:rsidRPr="00904139">
                <w:rPr>
                  <w:rFonts w:ascii="Geneva" w:hAnsi="Geneva"/>
                  <w:color w:val="000000"/>
                  <w:sz w:val="48"/>
                </w:rPr>
                <w:t>Nova Scotia</w:t>
              </w:r>
            </w:smartTag>
            <w:r w:rsidRPr="00904139">
              <w:rPr>
                <w:rFonts w:ascii="Geneva" w:hAnsi="Geneva"/>
                <w:color w:val="000000"/>
                <w:sz w:val="48"/>
              </w:rPr>
              <w:t xml:space="preserve"> Teachers </w:t>
            </w:r>
            <w:smartTag w:uri="urn:schemas-microsoft-com:office:smarttags" w:element="place">
              <w:r w:rsidRPr="00904139">
                <w:rPr>
                  <w:rFonts w:ascii="Geneva" w:hAnsi="Geneva"/>
                  <w:color w:val="000000"/>
                  <w:sz w:val="48"/>
                </w:rPr>
                <w:t>Union</w:t>
              </w:r>
            </w:smartTag>
          </w:p>
          <w:p w:rsidR="00F457B6" w:rsidRDefault="00F457B6" w:rsidP="00FD7DCA">
            <w:pPr>
              <w:jc w:val="center"/>
              <w:rPr>
                <w:rFonts w:ascii="New York" w:hAnsi="New York"/>
                <w:color w:val="000000"/>
              </w:rPr>
            </w:pPr>
          </w:p>
          <w:p w:rsidR="0079070A" w:rsidRPr="00904139" w:rsidRDefault="0079070A" w:rsidP="00FD7DCA">
            <w:pPr>
              <w:jc w:val="center"/>
              <w:rPr>
                <w:rFonts w:ascii="New York" w:hAnsi="New York"/>
                <w:color w:val="000000"/>
              </w:rPr>
            </w:pPr>
            <w:r>
              <w:rPr>
                <w:rFonts w:ascii="New York" w:hAnsi="New York"/>
                <w:color w:val="000000"/>
              </w:rPr>
              <w:t xml:space="preserve">Kings </w:t>
            </w:r>
            <w:r w:rsidRPr="00904139">
              <w:rPr>
                <w:rFonts w:ascii="New York" w:hAnsi="New York"/>
                <w:color w:val="000000"/>
              </w:rPr>
              <w:t>Local</w:t>
            </w:r>
          </w:p>
          <w:p w:rsidR="0079070A" w:rsidRPr="00F457B6" w:rsidRDefault="0079070A" w:rsidP="00F457B6">
            <w:pPr>
              <w:jc w:val="center"/>
              <w:rPr>
                <w:rFonts w:ascii="New York" w:hAnsi="New York"/>
                <w:b/>
                <w:color w:val="000000"/>
                <w:sz w:val="20"/>
              </w:rPr>
            </w:pPr>
            <w:r w:rsidRPr="00260BA1">
              <w:rPr>
                <w:rFonts w:ascii="New York" w:hAnsi="New York"/>
                <w:color w:val="000000"/>
                <w:sz w:val="10"/>
                <w:szCs w:val="10"/>
              </w:rPr>
              <w:br/>
            </w:r>
          </w:p>
        </w:tc>
        <w:tc>
          <w:tcPr>
            <w:tcW w:w="1671" w:type="dxa"/>
          </w:tcPr>
          <w:p w:rsidR="0079070A" w:rsidRPr="00904139" w:rsidRDefault="00C8146A" w:rsidP="00FD7DCA">
            <w:pPr>
              <w:jc w:val="center"/>
              <w:rPr>
                <w:rFonts w:ascii="Geneva" w:hAnsi="Geneva"/>
                <w:color w:val="000000"/>
                <w:sz w:val="48"/>
              </w:rPr>
            </w:pPr>
            <w:r>
              <w:rPr>
                <w:noProof/>
                <w:lang w:val="en-CA"/>
              </w:rPr>
              <w:drawing>
                <wp:anchor distT="0" distB="0" distL="114300" distR="114300" simplePos="0" relativeHeight="251658240" behindDoc="1" locked="0" layoutInCell="1" allowOverlap="1">
                  <wp:simplePos x="0" y="0"/>
                  <wp:positionH relativeFrom="column">
                    <wp:posOffset>68580</wp:posOffset>
                  </wp:positionH>
                  <wp:positionV relativeFrom="paragraph">
                    <wp:posOffset>50800</wp:posOffset>
                  </wp:positionV>
                  <wp:extent cx="716026" cy="590804"/>
                  <wp:effectExtent l="19050" t="57150" r="84074" b="0"/>
                  <wp:wrapTight wrapText="bothSides">
                    <wp:wrapPolygon edited="0">
                      <wp:start x="-575" y="-2089"/>
                      <wp:lineTo x="0" y="21591"/>
                      <wp:lineTo x="22987" y="21591"/>
                      <wp:lineTo x="23562" y="21591"/>
                      <wp:lineTo x="24136" y="20894"/>
                      <wp:lineTo x="24136" y="0"/>
                      <wp:lineTo x="23562" y="-2089"/>
                      <wp:lineTo x="-575" y="-2089"/>
                    </wp:wrapPolygon>
                  </wp:wrapTight>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6026" cy="590804"/>
                          </a:xfrm>
                          <a:prstGeom prst="rect">
                            <a:avLst/>
                          </a:prstGeom>
                          <a:noFill/>
                          <a:ln w="9525">
                            <a:noFill/>
                            <a:miter lim="800000"/>
                            <a:headEnd/>
                            <a:tailEnd/>
                          </a:ln>
                          <a:effectLst>
                            <a:outerShdw blurRad="50800" dist="38100" dir="18900000" algn="bl" rotWithShape="0">
                              <a:prstClr val="black">
                                <a:alpha val="40000"/>
                              </a:prstClr>
                            </a:outerShdw>
                          </a:effectLst>
                        </pic:spPr>
                      </pic:pic>
                    </a:graphicData>
                  </a:graphic>
                </wp:anchor>
              </w:drawing>
            </w:r>
          </w:p>
        </w:tc>
      </w:tr>
      <w:tr w:rsidR="0079070A" w:rsidTr="00FD7DCA">
        <w:trPr>
          <w:trHeight w:val="980"/>
        </w:trPr>
        <w:tc>
          <w:tcPr>
            <w:tcW w:w="1536" w:type="dxa"/>
          </w:tcPr>
          <w:p w:rsidR="0079070A" w:rsidRPr="00904139" w:rsidRDefault="0079070A" w:rsidP="00FD7DCA">
            <w:pPr>
              <w:jc w:val="center"/>
              <w:rPr>
                <w:rFonts w:ascii="New York" w:hAnsi="New York"/>
                <w:b/>
                <w:color w:val="000000"/>
                <w:sz w:val="18"/>
              </w:rPr>
            </w:pPr>
            <w:r w:rsidRPr="00904139">
              <w:rPr>
                <w:rFonts w:ascii="New York" w:hAnsi="New York"/>
                <w:b/>
                <w:color w:val="000000"/>
                <w:sz w:val="18"/>
              </w:rPr>
              <w:br/>
            </w:r>
          </w:p>
        </w:tc>
        <w:tc>
          <w:tcPr>
            <w:tcW w:w="6369" w:type="dxa"/>
            <w:vAlign w:val="center"/>
          </w:tcPr>
          <w:p w:rsidR="00F457B6" w:rsidRDefault="00F457B6" w:rsidP="00A125F8">
            <w:pPr>
              <w:jc w:val="center"/>
              <w:rPr>
                <w:rFonts w:ascii="New York" w:hAnsi="New York"/>
                <w:b/>
                <w:color w:val="000000"/>
                <w:sz w:val="36"/>
                <w:szCs w:val="36"/>
              </w:rPr>
            </w:pPr>
            <w:r>
              <w:rPr>
                <w:rFonts w:ascii="New York" w:hAnsi="New York"/>
                <w:b/>
                <w:color w:val="000000"/>
                <w:sz w:val="36"/>
                <w:szCs w:val="36"/>
              </w:rPr>
              <w:t xml:space="preserve">ANNUAL REPORTS </w:t>
            </w:r>
          </w:p>
          <w:p w:rsidR="0079070A" w:rsidRPr="0028537F" w:rsidRDefault="00A125F8" w:rsidP="00A125F8">
            <w:pPr>
              <w:jc w:val="center"/>
              <w:rPr>
                <w:rFonts w:ascii="New York" w:hAnsi="New York"/>
                <w:b/>
                <w:color w:val="000000"/>
                <w:sz w:val="36"/>
                <w:szCs w:val="36"/>
              </w:rPr>
            </w:pPr>
            <w:r>
              <w:rPr>
                <w:rFonts w:ascii="New York" w:hAnsi="New York"/>
                <w:b/>
                <w:color w:val="000000"/>
                <w:sz w:val="36"/>
                <w:szCs w:val="36"/>
              </w:rPr>
              <w:t>EXECUTIVE POSTIONS</w:t>
            </w:r>
          </w:p>
        </w:tc>
        <w:tc>
          <w:tcPr>
            <w:tcW w:w="1671" w:type="dxa"/>
          </w:tcPr>
          <w:p w:rsidR="0079070A" w:rsidRPr="00904139" w:rsidRDefault="0079070A" w:rsidP="00FD7DCA">
            <w:pPr>
              <w:jc w:val="center"/>
              <w:rPr>
                <w:rFonts w:ascii="New York" w:hAnsi="New York"/>
                <w:b/>
                <w:color w:val="000000"/>
                <w:sz w:val="18"/>
              </w:rPr>
            </w:pPr>
          </w:p>
        </w:tc>
      </w:tr>
      <w:tr w:rsidR="0079070A" w:rsidTr="00FD7DCA">
        <w:trPr>
          <w:trHeight w:val="416"/>
        </w:trPr>
        <w:tc>
          <w:tcPr>
            <w:tcW w:w="1536" w:type="dxa"/>
            <w:tcBorders>
              <w:bottom w:val="thinThickThinMediumGap" w:sz="24" w:space="0" w:color="auto"/>
            </w:tcBorders>
          </w:tcPr>
          <w:p w:rsidR="0079070A" w:rsidRPr="00904139" w:rsidRDefault="0079070A" w:rsidP="00FD7DCA">
            <w:pPr>
              <w:jc w:val="center"/>
              <w:rPr>
                <w:rFonts w:ascii="Geneva" w:hAnsi="Geneva"/>
                <w:color w:val="000000"/>
                <w:sz w:val="48"/>
              </w:rPr>
            </w:pPr>
          </w:p>
        </w:tc>
        <w:tc>
          <w:tcPr>
            <w:tcW w:w="6369" w:type="dxa"/>
            <w:tcBorders>
              <w:bottom w:val="thinThickThinMediumGap" w:sz="24" w:space="0" w:color="auto"/>
            </w:tcBorders>
            <w:vAlign w:val="center"/>
          </w:tcPr>
          <w:p w:rsidR="0079070A" w:rsidRPr="00260BA1" w:rsidRDefault="0079070A" w:rsidP="00FD7DCA">
            <w:pPr>
              <w:jc w:val="center"/>
              <w:rPr>
                <w:rFonts w:ascii="New York" w:hAnsi="New York"/>
                <w:b/>
                <w:color w:val="000000"/>
                <w:sz w:val="24"/>
                <w:szCs w:val="24"/>
              </w:rPr>
            </w:pPr>
            <w:r w:rsidRPr="00260BA1">
              <w:rPr>
                <w:rFonts w:ascii="New York" w:hAnsi="New York"/>
                <w:b/>
                <w:sz w:val="24"/>
                <w:szCs w:val="24"/>
              </w:rPr>
              <w:t>http://kings.nstu.ca/</w:t>
            </w:r>
          </w:p>
        </w:tc>
        <w:tc>
          <w:tcPr>
            <w:tcW w:w="1671" w:type="dxa"/>
            <w:tcBorders>
              <w:bottom w:val="thinThickThinMediumGap" w:sz="24" w:space="0" w:color="auto"/>
            </w:tcBorders>
          </w:tcPr>
          <w:p w:rsidR="0079070A" w:rsidRPr="00904139" w:rsidRDefault="0079070A" w:rsidP="00FD7DCA">
            <w:pPr>
              <w:jc w:val="center"/>
              <w:rPr>
                <w:rFonts w:ascii="Geneva" w:hAnsi="Geneva"/>
                <w:color w:val="000000"/>
                <w:sz w:val="48"/>
              </w:rPr>
            </w:pPr>
          </w:p>
        </w:tc>
      </w:tr>
    </w:tbl>
    <w:p w:rsidR="0079070A" w:rsidRPr="00263645" w:rsidRDefault="0079070A" w:rsidP="0079070A">
      <w:pPr>
        <w:rPr>
          <w:rFonts w:ascii="New York" w:hAnsi="New York"/>
          <w:b/>
          <w:color w:val="000000"/>
          <w:sz w:val="16"/>
          <w:szCs w:val="16"/>
        </w:rPr>
      </w:pPr>
    </w:p>
    <w:p w:rsidR="00F457B6" w:rsidRDefault="00A125F8">
      <w:pPr>
        <w:rPr>
          <w:b/>
        </w:rPr>
      </w:pPr>
      <w:r w:rsidRPr="00F457B6">
        <w:rPr>
          <w:b/>
        </w:rPr>
        <w:t>Year:</w:t>
      </w:r>
      <w:r w:rsidR="00716665">
        <w:rPr>
          <w:b/>
        </w:rPr>
        <w:t xml:space="preserve"> </w:t>
      </w:r>
      <w:r w:rsidR="00C8146A">
        <w:rPr>
          <w:b/>
        </w:rPr>
        <w:t>2014-15</w:t>
      </w:r>
    </w:p>
    <w:p w:rsidR="00716665" w:rsidRPr="00F457B6" w:rsidRDefault="00716665">
      <w:pPr>
        <w:rPr>
          <w:b/>
        </w:rPr>
      </w:pPr>
    </w:p>
    <w:p w:rsidR="00A125F8" w:rsidRPr="00F457B6" w:rsidRDefault="00A125F8">
      <w:pPr>
        <w:rPr>
          <w:b/>
        </w:rPr>
      </w:pPr>
      <w:r w:rsidRPr="00F457B6">
        <w:rPr>
          <w:b/>
        </w:rPr>
        <w:t>Executive Role</w:t>
      </w:r>
      <w:r w:rsidR="00262B19">
        <w:rPr>
          <w:b/>
        </w:rPr>
        <w:t>/Title</w:t>
      </w:r>
      <w:r w:rsidRPr="00F457B6">
        <w:rPr>
          <w:b/>
        </w:rPr>
        <w:t>:</w:t>
      </w:r>
      <w:r w:rsidR="00C6255D">
        <w:rPr>
          <w:b/>
        </w:rPr>
        <w:t xml:space="preserve"> VP/PR</w:t>
      </w:r>
    </w:p>
    <w:p w:rsidR="00F457B6" w:rsidRDefault="00F457B6"/>
    <w:p w:rsidR="00F457B6" w:rsidRPr="00F457B6" w:rsidRDefault="00F457B6">
      <w:pPr>
        <w:rPr>
          <w:b/>
        </w:rPr>
      </w:pPr>
      <w:r w:rsidRPr="00F457B6">
        <w:rPr>
          <w:b/>
        </w:rPr>
        <w:t>Committee Members:</w:t>
      </w:r>
      <w:r w:rsidR="00C6255D">
        <w:rPr>
          <w:b/>
        </w:rPr>
        <w:t xml:space="preserve"> Jo Leigh</w:t>
      </w:r>
      <w:r w:rsidR="001D536F">
        <w:rPr>
          <w:b/>
        </w:rPr>
        <w:t xml:space="preserve"> and</w:t>
      </w:r>
      <w:bookmarkStart w:id="0" w:name="_GoBack"/>
      <w:bookmarkEnd w:id="0"/>
      <w:r w:rsidR="00716665">
        <w:rPr>
          <w:b/>
        </w:rPr>
        <w:t xml:space="preserve"> Bev Roy</w:t>
      </w:r>
    </w:p>
    <w:p w:rsidR="00F457B6" w:rsidRDefault="00F457B6"/>
    <w:p w:rsidR="00F457B6" w:rsidRDefault="00F457B6"/>
    <w:p w:rsidR="00F457B6" w:rsidRDefault="00F457B6">
      <w:pPr>
        <w:rPr>
          <w:color w:val="BFBFBF"/>
        </w:rPr>
      </w:pPr>
      <w:r w:rsidRPr="00F457B6">
        <w:rPr>
          <w:b/>
        </w:rPr>
        <w:t>Highlights from the year:</w:t>
      </w:r>
      <w:r>
        <w:t xml:space="preserve"> </w:t>
      </w:r>
    </w:p>
    <w:p w:rsidR="00C6255D" w:rsidRPr="00C6255D" w:rsidRDefault="00C6255D"/>
    <w:p w:rsidR="00F457B6" w:rsidRDefault="00C6255D">
      <w:r>
        <w:t xml:space="preserve">This was a transitional year. The previous VP PR/PA resigned this position midyear so I took over the position after Christmas. I was able to be a strong voice at the local Executive Kings Local table and tried to get our local MLA’s to an Administrative Council meeting but they were sitting in the house and unable to attend. I was able to speak with two of the three local MLA’s regarding educational issues but look forward if given the opportunity next year to be more active politically but I also know how important it will be coordinated it will be to connect with Halifax NSTU staff during this important negotiating year. </w:t>
      </w:r>
    </w:p>
    <w:p w:rsidR="00F457B6" w:rsidRDefault="00F457B6"/>
    <w:p w:rsidR="00F457B6" w:rsidRDefault="00F457B6"/>
    <w:p w:rsidR="00F457B6" w:rsidRDefault="00F457B6">
      <w:r w:rsidRPr="00F457B6">
        <w:rPr>
          <w:b/>
        </w:rPr>
        <w:t>Moving Forward:</w:t>
      </w:r>
      <w:r>
        <w:t xml:space="preserve"> </w:t>
      </w:r>
    </w:p>
    <w:p w:rsidR="00C6255D" w:rsidRDefault="00C6255D">
      <w:pPr>
        <w:rPr>
          <w:color w:val="BFBFBF"/>
        </w:rPr>
      </w:pPr>
    </w:p>
    <w:p w:rsidR="00C6255D" w:rsidRPr="00C6255D" w:rsidRDefault="00C6255D">
      <w:r w:rsidRPr="00C6255D">
        <w:t xml:space="preserve">I </w:t>
      </w:r>
      <w:r>
        <w:t xml:space="preserve">feel that this will be a very important year for Public Affairs and Public Relations. We will be starting negotiations this year. It will be important to have positive public perception of Union and </w:t>
      </w:r>
      <w:r w:rsidR="00716665">
        <w:t>teachers</w:t>
      </w:r>
      <w:r>
        <w:t>.  It will be critical to have an active committee working closely with the Staff Officers in Halifax to have a planned, strategic approach to get a unified message to the public</w:t>
      </w:r>
      <w:r w:rsidR="001B12BC">
        <w:t xml:space="preserve"> and our membership</w:t>
      </w:r>
      <w:r>
        <w:t xml:space="preserve">. </w:t>
      </w:r>
    </w:p>
    <w:p w:rsidR="00F457B6" w:rsidRPr="00C6255D" w:rsidRDefault="00F457B6"/>
    <w:p w:rsidR="00A125F8" w:rsidRDefault="00A125F8"/>
    <w:sectPr w:rsidR="00A125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A"/>
    <w:rsid w:val="001B12BC"/>
    <w:rsid w:val="001D536F"/>
    <w:rsid w:val="00262B19"/>
    <w:rsid w:val="00716665"/>
    <w:rsid w:val="0079070A"/>
    <w:rsid w:val="00A125F8"/>
    <w:rsid w:val="00C6255D"/>
    <w:rsid w:val="00C8146A"/>
    <w:rsid w:val="00F457B6"/>
    <w:rsid w:val="00FC43B2"/>
    <w:rsid w:val="00FD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0A"/>
    <w:rPr>
      <w:rFonts w:ascii="Times" w:eastAsia="Times New Roman" w:hAnsi="Times"/>
      <w:sz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0A"/>
    <w:rPr>
      <w:rFonts w:ascii="Times" w:eastAsia="Times New Roman" w:hAnsi="Times"/>
      <w:sz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NMacisaa</dc:creator>
  <cp:lastModifiedBy>Donna</cp:lastModifiedBy>
  <cp:revision>3</cp:revision>
  <dcterms:created xsi:type="dcterms:W3CDTF">2015-05-22T00:20:00Z</dcterms:created>
  <dcterms:modified xsi:type="dcterms:W3CDTF">2015-05-22T00:20:00Z</dcterms:modified>
</cp:coreProperties>
</file>